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MOAA Legislative Affairs Update – October 2025</w:t>
      </w:r>
    </w:p>
    <w:p>
      <w:pPr>
        <w:pStyle w:val="IntenseQuote"/>
      </w:pPr>
      <w:r>
        <w:t>➡️ This update includes summary tables for quick reference and expanded information below for context and education.</w:t>
      </w:r>
    </w:p>
    <w:p>
      <w:pPr>
        <w:pStyle w:val="Heading1"/>
      </w:pPr>
      <w:r>
        <w:t>🔒 Federal Government Shutdown – Snapshot</w:t>
      </w:r>
    </w:p>
    <w:tbl>
      <w:tblPr>
        <w:tblStyle w:val="TableGrid"/>
        <w:tblW w:type="auto" w:w="0"/>
        <w:tblLook w:firstColumn="1" w:firstRow="1" w:lastColumn="0" w:lastRow="0" w:noHBand="0" w:noVBand="1" w:val="04A0"/>
      </w:tblPr>
      <w:tblGrid>
        <w:gridCol w:w="4320"/>
        <w:gridCol w:w="4320"/>
      </w:tblGrid>
      <w:tr>
        <w:tc>
          <w:tcPr>
            <w:tcW w:type="dxa" w:w="4320"/>
          </w:tcPr>
          <w:p>
            <w:r>
              <w:t>Area</w:t>
            </w:r>
          </w:p>
        </w:tc>
        <w:tc>
          <w:tcPr>
            <w:tcW w:type="dxa" w:w="4320"/>
          </w:tcPr>
          <w:p>
            <w:r>
              <w:t>Update</w:t>
            </w:r>
          </w:p>
        </w:tc>
      </w:tr>
      <w:tr>
        <w:tc>
          <w:tcPr>
            <w:tcW w:type="dxa" w:w="4320"/>
          </w:tcPr>
          <w:p>
            <w:r>
              <w:t>Status</w:t>
            </w:r>
          </w:p>
        </w:tc>
        <w:tc>
          <w:tcPr>
            <w:tcW w:type="dxa" w:w="4320"/>
          </w:tcPr>
          <w:p>
            <w:r>
              <w:t>Federal shutdown began Oct 1, 2025, after Congress failed to pass funding.</w:t>
            </w:r>
          </w:p>
        </w:tc>
      </w:tr>
      <w:tr>
        <w:tc>
          <w:tcPr>
            <w:tcW w:type="dxa" w:w="4320"/>
          </w:tcPr>
          <w:p>
            <w:r>
              <w:t>VA Benefits</w:t>
            </w:r>
          </w:p>
        </w:tc>
        <w:tc>
          <w:tcPr>
            <w:tcW w:type="dxa" w:w="4320"/>
          </w:tcPr>
          <w:p>
            <w:r>
              <w:t>✅ Still funded (e.g., pensions, GI Bill, DIC).</w:t>
            </w:r>
          </w:p>
        </w:tc>
      </w:tr>
      <w:tr>
        <w:tc>
          <w:tcPr>
            <w:tcW w:type="dxa" w:w="4320"/>
          </w:tcPr>
          <w:p>
            <w:r>
              <w:t>VA Facilities</w:t>
            </w:r>
          </w:p>
        </w:tc>
        <w:tc>
          <w:tcPr>
            <w:tcW w:type="dxa" w:w="4320"/>
          </w:tcPr>
          <w:p>
            <w:r>
              <w:t>✅ Hospitals and clinics remain open.</w:t>
            </w:r>
          </w:p>
        </w:tc>
      </w:tr>
      <w:tr>
        <w:tc>
          <w:tcPr>
            <w:tcW w:type="dxa" w:w="4320"/>
          </w:tcPr>
          <w:p>
            <w:r>
              <w:t>Regional Offices</w:t>
            </w:r>
          </w:p>
        </w:tc>
        <w:tc>
          <w:tcPr>
            <w:tcW w:type="dxa" w:w="4320"/>
          </w:tcPr>
          <w:p>
            <w:r>
              <w:t>⚠️ Likely delays in claims or appeals processing.</w:t>
            </w:r>
          </w:p>
        </w:tc>
      </w:tr>
      <w:tr>
        <w:tc>
          <w:tcPr>
            <w:tcW w:type="dxa" w:w="4320"/>
          </w:tcPr>
          <w:p>
            <w:r>
              <w:t>Back Pay</w:t>
            </w:r>
          </w:p>
        </w:tc>
        <w:tc>
          <w:tcPr>
            <w:tcW w:type="dxa" w:w="4320"/>
          </w:tcPr>
          <w:p>
            <w:r>
              <w:t>❌ Not guaranteed. White House memo reverses usual precedent.</w:t>
            </w:r>
          </w:p>
        </w:tc>
      </w:tr>
      <w:tr>
        <w:tc>
          <w:tcPr>
            <w:tcW w:type="dxa" w:w="4320"/>
          </w:tcPr>
          <w:p>
            <w:r>
              <w:t>MOAA Position</w:t>
            </w:r>
          </w:p>
        </w:tc>
        <w:tc>
          <w:tcPr>
            <w:tcW w:type="dxa" w:w="4320"/>
          </w:tcPr>
          <w:p>
            <w:r>
              <w:t>MOAA is pressing Congress to protect pay and benefits.</w:t>
            </w:r>
          </w:p>
        </w:tc>
      </w:tr>
    </w:tbl>
    <w:p>
      <w:pPr>
        <w:pStyle w:val="Heading1"/>
      </w:pPr>
      <w:r>
        <w:t>🇺🇸 Federal Legislation – Snapshot</w:t>
      </w:r>
    </w:p>
    <w:tbl>
      <w:tblPr>
        <w:tblStyle w:val="TableGrid"/>
        <w:tblW w:type="auto" w:w="0"/>
        <w:tblLook w:firstColumn="1" w:firstRow="1" w:lastColumn="0" w:lastRow="0" w:noHBand="0" w:noVBand="1" w:val="04A0"/>
      </w:tblPr>
      <w:tblGrid>
        <w:gridCol w:w="2880"/>
        <w:gridCol w:w="2880"/>
        <w:gridCol w:w="2880"/>
      </w:tblGrid>
      <w:tr>
        <w:tc>
          <w:tcPr>
            <w:tcW w:type="dxa" w:w="2880"/>
          </w:tcPr>
          <w:p>
            <w:r>
              <w:t>Bill</w:t>
            </w:r>
          </w:p>
        </w:tc>
        <w:tc>
          <w:tcPr>
            <w:tcW w:type="dxa" w:w="2880"/>
          </w:tcPr>
          <w:p>
            <w:r>
              <w:t>Status</w:t>
            </w:r>
          </w:p>
        </w:tc>
        <w:tc>
          <w:tcPr>
            <w:tcW w:type="dxa" w:w="2880"/>
          </w:tcPr>
          <w:p>
            <w:r>
              <w:t>Summary</w:t>
            </w:r>
          </w:p>
        </w:tc>
      </w:tr>
      <w:tr>
        <w:tc>
          <w:tcPr>
            <w:tcW w:type="dxa" w:w="2880"/>
          </w:tcPr>
          <w:p>
            <w:r>
              <w:t>Major Richard Star Act</w:t>
            </w:r>
          </w:p>
        </w:tc>
        <w:tc>
          <w:tcPr>
            <w:tcW w:type="dxa" w:w="2880"/>
          </w:tcPr>
          <w:p>
            <w:r>
              <w:t>Pending</w:t>
            </w:r>
          </w:p>
        </w:tc>
        <w:tc>
          <w:tcPr>
            <w:tcW w:type="dxa" w:w="2880"/>
          </w:tcPr>
          <w:p>
            <w:r>
              <w:t>Fixes unfair offset between retired pay and VA disability.</w:t>
            </w:r>
          </w:p>
        </w:tc>
      </w:tr>
      <w:tr>
        <w:tc>
          <w:tcPr>
            <w:tcW w:type="dxa" w:w="2880"/>
          </w:tcPr>
          <w:p>
            <w:r>
              <w:t>Caring for Survivors Act</w:t>
            </w:r>
          </w:p>
        </w:tc>
        <w:tc>
          <w:tcPr>
            <w:tcW w:type="dxa" w:w="2880"/>
          </w:tcPr>
          <w:p>
            <w:r>
              <w:t>Pending</w:t>
            </w:r>
          </w:p>
        </w:tc>
        <w:tc>
          <w:tcPr>
            <w:tcW w:type="dxa" w:w="2880"/>
          </w:tcPr>
          <w:p>
            <w:r>
              <w:t>Raises DIC benefits for surviving spouses.</w:t>
            </w:r>
          </w:p>
        </w:tc>
      </w:tr>
      <w:tr>
        <w:tc>
          <w:tcPr>
            <w:tcW w:type="dxa" w:w="2880"/>
          </w:tcPr>
          <w:p>
            <w:r>
              <w:t>Fair Access to VA Services Act</w:t>
            </w:r>
          </w:p>
        </w:tc>
        <w:tc>
          <w:tcPr>
            <w:tcW w:type="dxa" w:w="2880"/>
          </w:tcPr>
          <w:p>
            <w:r>
              <w:t>Committee</w:t>
            </w:r>
          </w:p>
        </w:tc>
        <w:tc>
          <w:tcPr>
            <w:tcW w:type="dxa" w:w="2880"/>
          </w:tcPr>
          <w:p>
            <w:r>
              <w:t>Improves rural care access via telehealth, transport.</w:t>
            </w:r>
          </w:p>
        </w:tc>
      </w:tr>
      <w:tr>
        <w:tc>
          <w:tcPr>
            <w:tcW w:type="dxa" w:w="2880"/>
          </w:tcPr>
          <w:p>
            <w:r>
              <w:t>Military Retiree Survivor Comfort Act</w:t>
            </w:r>
          </w:p>
        </w:tc>
        <w:tc>
          <w:tcPr>
            <w:tcW w:type="dxa" w:w="2880"/>
          </w:tcPr>
          <w:p>
            <w:r>
              <w:t>Committee</w:t>
            </w:r>
          </w:p>
        </w:tc>
        <w:tc>
          <w:tcPr>
            <w:tcW w:type="dxa" w:w="2880"/>
          </w:tcPr>
          <w:p>
            <w:r>
              <w:t>30-day pay continuation for survivors.</w:t>
            </w:r>
          </w:p>
        </w:tc>
      </w:tr>
      <w:tr>
        <w:tc>
          <w:tcPr>
            <w:tcW w:type="dxa" w:w="2880"/>
          </w:tcPr>
          <w:p>
            <w:r>
              <w:t>Putting Veterans First Act</w:t>
            </w:r>
          </w:p>
        </w:tc>
        <w:tc>
          <w:tcPr>
            <w:tcW w:type="dxa" w:w="2880"/>
          </w:tcPr>
          <w:p>
            <w:r>
              <w:t>Committee</w:t>
            </w:r>
          </w:p>
        </w:tc>
        <w:tc>
          <w:tcPr>
            <w:tcW w:type="dxa" w:w="2880"/>
          </w:tcPr>
          <w:p>
            <w:r>
              <w:t>Boosts VA staff and claims processing.</w:t>
            </w:r>
          </w:p>
        </w:tc>
      </w:tr>
    </w:tbl>
    <w:p>
      <w:pPr>
        <w:pStyle w:val="Heading1"/>
      </w:pPr>
      <w:r>
        <w:t>🏛️ NC Legislation – Snapshot</w:t>
      </w:r>
    </w:p>
    <w:tbl>
      <w:tblPr>
        <w:tblStyle w:val="TableGrid"/>
        <w:tblW w:type="auto" w:w="0"/>
        <w:tblLook w:firstColumn="1" w:firstRow="1" w:lastColumn="0" w:lastRow="0" w:noHBand="0" w:noVBand="1" w:val="04A0"/>
      </w:tblPr>
      <w:tblGrid>
        <w:gridCol w:w="2880"/>
        <w:gridCol w:w="2880"/>
        <w:gridCol w:w="2880"/>
      </w:tblGrid>
      <w:tr>
        <w:tc>
          <w:tcPr>
            <w:tcW w:type="dxa" w:w="2880"/>
          </w:tcPr>
          <w:p>
            <w:r>
              <w:t>Bill</w:t>
            </w:r>
          </w:p>
        </w:tc>
        <w:tc>
          <w:tcPr>
            <w:tcW w:type="dxa" w:w="2880"/>
          </w:tcPr>
          <w:p>
            <w:r>
              <w:t>Status</w:t>
            </w:r>
          </w:p>
        </w:tc>
        <w:tc>
          <w:tcPr>
            <w:tcW w:type="dxa" w:w="2880"/>
          </w:tcPr>
          <w:p>
            <w:r>
              <w:t>Summary</w:t>
            </w:r>
          </w:p>
        </w:tc>
      </w:tr>
      <w:tr>
        <w:tc>
          <w:tcPr>
            <w:tcW w:type="dxa" w:w="2880"/>
          </w:tcPr>
          <w:p>
            <w:r>
              <w:t>SB 118</w:t>
            </w:r>
          </w:p>
        </w:tc>
        <w:tc>
          <w:tcPr>
            <w:tcW w:type="dxa" w:w="2880"/>
          </w:tcPr>
          <w:p>
            <w:r>
              <w:t>✅ In effect</w:t>
            </w:r>
          </w:p>
        </w:tc>
        <w:tc>
          <w:tcPr>
            <w:tcW w:type="dxa" w:w="2880"/>
          </w:tcPr>
          <w:p>
            <w:r>
              <w:t>Expands property tax relief and outreach.</w:t>
            </w:r>
          </w:p>
        </w:tc>
      </w:tr>
      <w:tr>
        <w:tc>
          <w:tcPr>
            <w:tcW w:type="dxa" w:w="2880"/>
          </w:tcPr>
          <w:p>
            <w:r>
              <w:t>SB 693</w:t>
            </w:r>
          </w:p>
        </w:tc>
        <w:tc>
          <w:tcPr>
            <w:tcW w:type="dxa" w:w="2880"/>
          </w:tcPr>
          <w:p>
            <w:r>
              <w:t>Pending</w:t>
            </w:r>
          </w:p>
        </w:tc>
        <w:tc>
          <w:tcPr>
            <w:tcW w:type="dxa" w:w="2880"/>
          </w:tcPr>
          <w:p>
            <w:r>
              <w:t>Cracks down on predatory claims agents.</w:t>
            </w:r>
          </w:p>
        </w:tc>
      </w:tr>
      <w:tr>
        <w:tc>
          <w:tcPr>
            <w:tcW w:type="dxa" w:w="2880"/>
          </w:tcPr>
          <w:p>
            <w:r>
              <w:t>HB 213</w:t>
            </w:r>
          </w:p>
        </w:tc>
        <w:tc>
          <w:tcPr>
            <w:tcW w:type="dxa" w:w="2880"/>
          </w:tcPr>
          <w:p>
            <w:r>
              <w:t>Pending</w:t>
            </w:r>
          </w:p>
        </w:tc>
        <w:tc>
          <w:tcPr>
            <w:tcW w:type="dxa" w:w="2880"/>
          </w:tcPr>
          <w:p>
            <w:r>
              <w:t>Posters required for veteran benefit awareness.</w:t>
            </w:r>
          </w:p>
        </w:tc>
      </w:tr>
      <w:tr>
        <w:tc>
          <w:tcPr>
            <w:tcW w:type="dxa" w:w="2880"/>
          </w:tcPr>
          <w:p>
            <w:r>
              <w:t>HB 114 / HB 341</w:t>
            </w:r>
          </w:p>
        </w:tc>
        <w:tc>
          <w:tcPr>
            <w:tcW w:type="dxa" w:w="2880"/>
          </w:tcPr>
          <w:p>
            <w:r>
              <w:t>Inactive</w:t>
            </w:r>
          </w:p>
        </w:tc>
        <w:tc>
          <w:tcPr>
            <w:tcW w:type="dxa" w:w="2880"/>
          </w:tcPr>
          <w:p>
            <w:r>
              <w:t>Expand tax relief and hiring preference.</w:t>
            </w:r>
          </w:p>
        </w:tc>
      </w:tr>
    </w:tbl>
    <w:p>
      <w:pPr>
        <w:pStyle w:val="Heading1"/>
      </w:pPr>
      <w:r>
        <w:t>📍 Local &amp; Regional Issues – Snapshot</w:t>
      </w:r>
    </w:p>
    <w:tbl>
      <w:tblPr>
        <w:tblStyle w:val="TableGrid"/>
        <w:tblW w:type="auto" w:w="0"/>
        <w:tblLook w:firstColumn="1" w:firstRow="1" w:lastColumn="0" w:lastRow="0" w:noHBand="0" w:noVBand="1" w:val="04A0"/>
      </w:tblPr>
      <w:tblGrid>
        <w:gridCol w:w="2880"/>
        <w:gridCol w:w="2880"/>
        <w:gridCol w:w="2880"/>
      </w:tblGrid>
      <w:tr>
        <w:tc>
          <w:tcPr>
            <w:tcW w:type="dxa" w:w="2880"/>
          </w:tcPr>
          <w:p>
            <w:r>
              <w:t>Topic</w:t>
            </w:r>
          </w:p>
        </w:tc>
        <w:tc>
          <w:tcPr>
            <w:tcW w:type="dxa" w:w="2880"/>
          </w:tcPr>
          <w:p>
            <w:r>
              <w:t>September</w:t>
            </w:r>
          </w:p>
        </w:tc>
        <w:tc>
          <w:tcPr>
            <w:tcW w:type="dxa" w:w="2880"/>
          </w:tcPr>
          <w:p>
            <w:r>
              <w:t>October Update</w:t>
            </w:r>
          </w:p>
        </w:tc>
      </w:tr>
      <w:tr>
        <w:tc>
          <w:tcPr>
            <w:tcW w:type="dxa" w:w="2880"/>
          </w:tcPr>
          <w:p>
            <w:r>
              <w:t>VSO Staffing (Ashe/Avery)</w:t>
            </w:r>
          </w:p>
        </w:tc>
        <w:tc>
          <w:tcPr>
            <w:tcW w:type="dxa" w:w="2880"/>
          </w:tcPr>
          <w:p>
            <w:r>
              <w:t>Understaffed</w:t>
            </w:r>
          </w:p>
        </w:tc>
        <w:tc>
          <w:tcPr>
            <w:tcW w:type="dxa" w:w="2880"/>
          </w:tcPr>
          <w:p>
            <w:r>
              <w:t>Still delayed services.</w:t>
            </w:r>
          </w:p>
        </w:tc>
      </w:tr>
      <w:tr>
        <w:tc>
          <w:tcPr>
            <w:tcW w:type="dxa" w:w="2880"/>
          </w:tcPr>
          <w:p>
            <w:r>
              <w:t>SB 118 Rollout</w:t>
            </w:r>
          </w:p>
        </w:tc>
        <w:tc>
          <w:tcPr>
            <w:tcW w:type="dxa" w:w="2880"/>
          </w:tcPr>
          <w:p>
            <w:r>
              <w:t>Planning</w:t>
            </w:r>
          </w:p>
        </w:tc>
        <w:tc>
          <w:tcPr>
            <w:tcW w:type="dxa" w:w="2880"/>
          </w:tcPr>
          <w:p>
            <w:r>
              <w:t>Counties can now act.</w:t>
            </w:r>
          </w:p>
        </w:tc>
      </w:tr>
      <w:tr>
        <w:tc>
          <w:tcPr>
            <w:tcW w:type="dxa" w:w="2880"/>
          </w:tcPr>
          <w:p>
            <w:r>
              <w:t>Veteran Hiring (CCC&amp;TI)</w:t>
            </w:r>
          </w:p>
        </w:tc>
        <w:tc>
          <w:tcPr>
            <w:tcW w:type="dxa" w:w="2880"/>
          </w:tcPr>
          <w:p>
            <w:r>
              <w:t>Interest</w:t>
            </w:r>
          </w:p>
        </w:tc>
        <w:tc>
          <w:tcPr>
            <w:tcW w:type="dxa" w:w="2880"/>
          </w:tcPr>
          <w:p>
            <w:r>
              <w:t>No pilot launched.</w:t>
            </w:r>
          </w:p>
        </w:tc>
      </w:tr>
      <w:tr>
        <w:tc>
          <w:tcPr>
            <w:tcW w:type="dxa" w:w="2880"/>
          </w:tcPr>
          <w:p>
            <w:r>
              <w:t>Housing Stability</w:t>
            </w:r>
          </w:p>
        </w:tc>
        <w:tc>
          <w:tcPr>
            <w:tcW w:type="dxa" w:w="2880"/>
          </w:tcPr>
          <w:p>
            <w:r>
              <w:t>High pressure</w:t>
            </w:r>
          </w:p>
        </w:tc>
        <w:tc>
          <w:tcPr>
            <w:tcW w:type="dxa" w:w="2880"/>
          </w:tcPr>
          <w:p>
            <w:r>
              <w:t>No change; affordability still a concern.</w:t>
            </w:r>
          </w:p>
        </w:tc>
      </w:tr>
    </w:tbl>
    <w:p>
      <w:r>
        <w:br w:type="page"/>
      </w:r>
    </w:p>
    <w:p>
      <w:pPr>
        <w:pStyle w:val="Heading1"/>
      </w:pPr>
      <w:r>
        <w:t>📘 Expanded Information</w:t>
      </w:r>
    </w:p>
    <w:p>
      <w:pPr>
        <w:pStyle w:val="Heading2"/>
      </w:pPr>
      <w:r>
        <w:t>Federal Government Shutdown – Details</w:t>
      </w:r>
    </w:p>
    <w:p>
      <w:r>
        <w:t>The federal government shut down on October 1, 2025. While VA benefits (compensation, pensions, DIC, GI Bill, housing stipends) continue, VA regional offices may experience delays. VA hospitals and clinics remain open. A White House memo stated furloughed federal workers may not be guaranteed back pay, affecting many MOAA members. MOAA is urging lawmakers to resolve the shutdown and protect pay continuity.</w:t>
      </w:r>
    </w:p>
    <w:p>
      <w:pPr>
        <w:pStyle w:val="Heading2"/>
      </w:pPr>
      <w:r>
        <w:t>Federal Legislation – Details</w:t>
      </w:r>
    </w:p>
    <w:p>
      <w:r>
        <w:t>- Major Richard Star Act: Fixes offset between military retired pay and VA disability for combat-injured retirees.</w:t>
        <w:br/>
        <w:t>- Caring for Survivors Act: Raises DIC benefits to align with other federal survivor programs.</w:t>
        <w:br/>
        <w:t>- Fair Access to VA Services Act: Improves rural access to care, transport, and telehealth.</w:t>
        <w:br/>
        <w:t>- Military Retiree Survivor Comfort Act: Provides a one-month pay buffer to surviving spouses.</w:t>
        <w:br/>
        <w:t>- Putting Veterans First Act: Funds more VA staff and modernizes claims systems.</w:t>
      </w:r>
    </w:p>
    <w:p>
      <w:pPr>
        <w:pStyle w:val="Heading2"/>
      </w:pPr>
      <w:r>
        <w:t>North Carolina Legislation – Details</w:t>
      </w:r>
    </w:p>
    <w:p>
      <w:r>
        <w:t>- SB 118: Now active, counties can increase homestead tax exemptions for disabled veterans.</w:t>
        <w:br/>
        <w:t>- SB 693: Pending bill to regulate VA claims consultants and prevent fraud.</w:t>
        <w:br/>
        <w:t>- HB 213: Would require posters about veteran benefits in workplaces.</w:t>
        <w:br/>
        <w:t>- HB 114 / HB 341: Expand tax and hiring benefits, likely to return in 2026.</w:t>
      </w:r>
    </w:p>
    <w:p>
      <w:pPr>
        <w:pStyle w:val="Heading2"/>
      </w:pPr>
      <w:r>
        <w:t>Local &amp; Regional Advocacy – Details</w:t>
      </w:r>
    </w:p>
    <w:p>
      <w:r>
        <w:t>- VSO staffing in Ashe and Avery Counties remains limited, delaying claims support.</w:t>
        <w:br/>
        <w:t>- SB 118 is active; chapters can help counties with outreach or education.</w:t>
        <w:br/>
        <w:t>- CCC&amp;TI shows interest in veteran hiring initiatives but needs chapter engagement.</w:t>
        <w:br/>
        <w:t>- Housing affordability remains a top concern in Boone, Banner Elk, and Caldwell County.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